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65F14" w:rsidRDefault="00282CD4">
      <w:pPr>
        <w:tabs>
          <w:tab w:val="center" w:pos="4536"/>
          <w:tab w:val="right" w:pos="8280"/>
          <w:tab w:val="right" w:pos="9639"/>
        </w:tabs>
        <w:spacing w:before="12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 RAN WG1 #10</w:t>
      </w:r>
      <w:r>
        <w:rPr>
          <w:rFonts w:ascii="Arial" w:hAnsi="Arial" w:cs="Arial" w:hint="eastAsia"/>
          <w:b/>
          <w:bCs/>
          <w:sz w:val="22"/>
          <w:szCs w:val="22"/>
        </w:rPr>
        <w:t>2</w:t>
      </w:r>
      <w:r>
        <w:rPr>
          <w:rFonts w:ascii="Arial" w:hAnsi="Arial" w:cs="Arial"/>
          <w:b/>
          <w:bCs/>
          <w:sz w:val="22"/>
          <w:szCs w:val="22"/>
        </w:rPr>
        <w:t>-e</w:t>
      </w:r>
      <w:r>
        <w:rPr>
          <w:rFonts w:ascii="Arial" w:hAnsi="Arial" w:cs="Arial" w:hint="eastAsia"/>
          <w:b/>
          <w:bCs/>
          <w:sz w:val="22"/>
          <w:szCs w:val="22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</w:rPr>
        <w:tab/>
        <w:t xml:space="preserve">            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 xml:space="preserve">        </w:t>
      </w:r>
      <w:r>
        <w:rPr>
          <w:rFonts w:ascii="Arial" w:hAnsi="Arial" w:cs="Arial"/>
          <w:b/>
          <w:bCs/>
          <w:sz w:val="22"/>
          <w:szCs w:val="22"/>
        </w:rPr>
        <w:t xml:space="preserve">  </w:t>
      </w:r>
      <w:r>
        <w:rPr>
          <w:rFonts w:ascii="Arial" w:hAnsi="Arial" w:cs="Arial" w:hint="eastAsia"/>
          <w:b/>
          <w:bCs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sz w:val="22"/>
          <w:szCs w:val="22"/>
        </w:rPr>
        <w:t xml:space="preserve">         </w:t>
      </w:r>
      <w:r w:rsidR="00927288" w:rsidRPr="00927288">
        <w:rPr>
          <w:rFonts w:ascii="Arial" w:hAnsi="Arial" w:cs="Arial"/>
          <w:b/>
          <w:bCs/>
          <w:sz w:val="22"/>
          <w:szCs w:val="22"/>
        </w:rPr>
        <w:t>R1-2005962</w:t>
      </w:r>
    </w:p>
    <w:p w:rsidR="00C65F14" w:rsidRDefault="00282CD4">
      <w:pPr>
        <w:tabs>
          <w:tab w:val="center" w:pos="4536"/>
          <w:tab w:val="right" w:pos="9072"/>
        </w:tabs>
        <w:spacing w:before="120" w:after="120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e-Meeting, </w:t>
      </w:r>
      <w:r>
        <w:rPr>
          <w:rFonts w:ascii="Arial" w:eastAsia="MS Mincho" w:hAnsi="Arial" w:cs="Arial" w:hint="eastAsia"/>
          <w:b/>
          <w:bCs/>
          <w:sz w:val="22"/>
          <w:szCs w:val="22"/>
          <w:lang w:eastAsia="ja-JP"/>
        </w:rPr>
        <w:t>August 17</w:t>
      </w:r>
      <w:r>
        <w:rPr>
          <w:rFonts w:ascii="Arial" w:eastAsia="MS Mincho" w:hAnsi="Arial" w:cs="Arial" w:hint="eastAsia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2"/>
          <w:szCs w:val="22"/>
          <w:lang w:eastAsia="ja-JP"/>
        </w:rPr>
        <w:t xml:space="preserve"> - 28</w:t>
      </w:r>
      <w:r>
        <w:rPr>
          <w:rFonts w:ascii="Arial" w:eastAsia="MS Mincho" w:hAnsi="Arial" w:cs="Arial" w:hint="eastAsia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, 2020</w:t>
      </w:r>
    </w:p>
    <w:p w:rsidR="00C65F14" w:rsidRDefault="00282CD4" w:rsidP="004F5582">
      <w:pPr>
        <w:tabs>
          <w:tab w:val="left" w:pos="1985"/>
        </w:tabs>
        <w:spacing w:beforeLines="100" w:after="120" w:line="240" w:lineRule="auto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 w:rsidR="00F639D7">
        <w:rPr>
          <w:rFonts w:ascii="Arial" w:hAnsi="Arial"/>
          <w:b/>
          <w:sz w:val="22"/>
          <w:szCs w:val="22"/>
        </w:rPr>
        <w:t>P</w:t>
      </w:r>
      <w:r w:rsidR="00611A47">
        <w:rPr>
          <w:rFonts w:ascii="Arial" w:hAnsi="Arial" w:hint="eastAsia"/>
          <w:b/>
          <w:sz w:val="22"/>
          <w:szCs w:val="22"/>
        </w:rPr>
        <w:t>otential impact of DRX</w:t>
      </w:r>
      <w:r w:rsidR="00611A47">
        <w:rPr>
          <w:rFonts w:ascii="Arial" w:hAnsi="Arial"/>
          <w:b/>
          <w:sz w:val="22"/>
          <w:szCs w:val="22"/>
        </w:rPr>
        <w:t xml:space="preserve"> enhancement to</w:t>
      </w:r>
      <w:r>
        <w:rPr>
          <w:rFonts w:ascii="Arial" w:hAnsi="Arial" w:hint="eastAsia"/>
          <w:b/>
          <w:sz w:val="22"/>
          <w:szCs w:val="22"/>
        </w:rPr>
        <w:t xml:space="preserve"> </w:t>
      </w:r>
      <w:r w:rsidR="00F639D7">
        <w:rPr>
          <w:rFonts w:ascii="Arial" w:hAnsi="Arial"/>
          <w:b/>
          <w:sz w:val="22"/>
          <w:szCs w:val="22"/>
        </w:rPr>
        <w:t>RAN1 discussion</w:t>
      </w:r>
    </w:p>
    <w:p w:rsidR="00C65F14" w:rsidRDefault="00282CD4">
      <w:pPr>
        <w:tabs>
          <w:tab w:val="left" w:pos="1985"/>
        </w:tabs>
        <w:spacing w:before="120" w:after="120" w:line="240" w:lineRule="auto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ZTE, Sanechips</w:t>
      </w:r>
    </w:p>
    <w:p w:rsidR="00C65F14" w:rsidRDefault="00282CD4">
      <w:pPr>
        <w:tabs>
          <w:tab w:val="left" w:pos="1985"/>
        </w:tabs>
        <w:spacing w:before="120" w:after="120" w:line="240" w:lineRule="auto"/>
        <w:rPr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8.11.3</w:t>
      </w:r>
    </w:p>
    <w:p w:rsidR="00C65F14" w:rsidRDefault="00282CD4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:rsidR="00C65F14" w:rsidRDefault="00282CD4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Introduction</w:t>
      </w:r>
    </w:p>
    <w:p w:rsidR="00C65F14" w:rsidRDefault="00282CD4">
      <w:pPr>
        <w:spacing w:before="120" w:after="120"/>
        <w:rPr>
          <w:sz w:val="20"/>
        </w:rPr>
      </w:pPr>
      <w:r>
        <w:rPr>
          <w:sz w:val="20"/>
        </w:rPr>
        <w:t>The</w:t>
      </w:r>
      <w:r>
        <w:rPr>
          <w:rFonts w:hint="eastAsia"/>
          <w:sz w:val="20"/>
        </w:rPr>
        <w:t xml:space="preserve"> Rel-17 sidelink enhancement </w:t>
      </w:r>
      <w:r>
        <w:rPr>
          <w:sz w:val="20"/>
        </w:rPr>
        <w:t>WID</w:t>
      </w:r>
      <w:r>
        <w:rPr>
          <w:rFonts w:hint="eastAsia"/>
          <w:sz w:val="20"/>
        </w:rPr>
        <w:t xml:space="preserve"> </w:t>
      </w:r>
      <w:r w:rsidR="00C31A80">
        <w:rPr>
          <w:rFonts w:hint="eastAsia"/>
          <w:sz w:val="20"/>
        </w:rPr>
        <w:fldChar w:fldCharType="begin"/>
      </w:r>
      <w:r>
        <w:rPr>
          <w:rFonts w:hint="eastAsia"/>
          <w:sz w:val="20"/>
        </w:rPr>
        <w:instrText xml:space="preserve"> REF _Ref2989 \n \h </w:instrText>
      </w:r>
      <w:r w:rsidR="00C31A80">
        <w:rPr>
          <w:rFonts w:hint="eastAsia"/>
          <w:sz w:val="20"/>
        </w:rPr>
      </w:r>
      <w:r w:rsidR="00C31A80">
        <w:rPr>
          <w:rFonts w:hint="eastAsia"/>
          <w:sz w:val="20"/>
        </w:rPr>
        <w:fldChar w:fldCharType="separate"/>
      </w:r>
      <w:r>
        <w:rPr>
          <w:rFonts w:hint="eastAsia"/>
          <w:sz w:val="20"/>
        </w:rPr>
        <w:t>[1]</w:t>
      </w:r>
      <w:r w:rsidR="00C31A80">
        <w:rPr>
          <w:rFonts w:hint="eastAsia"/>
          <w:sz w:val="20"/>
        </w:rPr>
        <w:fldChar w:fldCharType="end"/>
      </w:r>
      <w:r>
        <w:rPr>
          <w:sz w:val="20"/>
        </w:rPr>
        <w:t xml:space="preserve"> </w:t>
      </w:r>
      <w:r>
        <w:rPr>
          <w:rFonts w:hint="eastAsia"/>
          <w:sz w:val="20"/>
        </w:rPr>
        <w:t xml:space="preserve">provides </w:t>
      </w:r>
      <w:r>
        <w:rPr>
          <w:sz w:val="20"/>
        </w:rPr>
        <w:t xml:space="preserve">the </w:t>
      </w:r>
      <w:r>
        <w:rPr>
          <w:rFonts w:hint="eastAsia"/>
          <w:sz w:val="20"/>
        </w:rPr>
        <w:t>following</w:t>
      </w:r>
      <w:r w:rsidR="00497987">
        <w:rPr>
          <w:sz w:val="20"/>
        </w:rPr>
        <w:t xml:space="preserve"> objective</w:t>
      </w:r>
      <w:r>
        <w:rPr>
          <w:sz w:val="20"/>
        </w:rPr>
        <w:t xml:space="preserve"> for</w:t>
      </w:r>
      <w:r>
        <w:rPr>
          <w:rFonts w:hint="eastAsia"/>
          <w:sz w:val="20"/>
        </w:rPr>
        <w:t xml:space="preserve"> sidelink DRX:</w:t>
      </w:r>
    </w:p>
    <w:tbl>
      <w:tblPr>
        <w:tblStyle w:val="TableGrid"/>
        <w:tblW w:w="9876" w:type="dxa"/>
        <w:tblLayout w:type="fixed"/>
        <w:tblLook w:val="04A0"/>
      </w:tblPr>
      <w:tblGrid>
        <w:gridCol w:w="9876"/>
      </w:tblGrid>
      <w:tr w:rsidR="00C65F14">
        <w:tc>
          <w:tcPr>
            <w:tcW w:w="9876" w:type="dxa"/>
          </w:tcPr>
          <w:p w:rsidR="00C65F14" w:rsidRDefault="00282CD4">
            <w:pPr>
              <w:spacing w:before="120" w:after="120"/>
              <w:rPr>
                <w:i/>
                <w:iCs/>
                <w:lang w:eastAsia="ko-KR"/>
              </w:rPr>
            </w:pPr>
            <w:r>
              <w:rPr>
                <w:i/>
                <w:iCs/>
                <w:lang w:eastAsia="ko-KR"/>
              </w:rPr>
              <w:t>3</w:t>
            </w:r>
            <w:r>
              <w:rPr>
                <w:rFonts w:hint="eastAsia"/>
                <w:i/>
                <w:iCs/>
                <w:lang w:eastAsia="ko-KR"/>
              </w:rPr>
              <w:t xml:space="preserve">. </w:t>
            </w:r>
            <w:r>
              <w:rPr>
                <w:i/>
                <w:iCs/>
                <w:lang w:eastAsia="ko-KR"/>
              </w:rPr>
              <w:t>Sidelink DRX for broadcast, groupcast, and unicast [RAN2]</w:t>
            </w:r>
          </w:p>
          <w:p w:rsidR="00C65F14" w:rsidRDefault="00282CD4">
            <w:pPr>
              <w:numPr>
                <w:ilvl w:val="0"/>
                <w:numId w:val="8"/>
              </w:numPr>
              <w:spacing w:before="120" w:after="120"/>
              <w:rPr>
                <w:i/>
                <w:iCs/>
                <w:lang w:eastAsia="ko-KR"/>
              </w:rPr>
            </w:pPr>
            <w:r>
              <w:rPr>
                <w:i/>
                <w:iCs/>
                <w:lang w:eastAsia="ko-KR"/>
              </w:rPr>
              <w:t>Define on- and off-durations in sidelink and specify the corresponding UE procedure</w:t>
            </w:r>
          </w:p>
          <w:p w:rsidR="00C65F14" w:rsidRDefault="00282CD4">
            <w:pPr>
              <w:numPr>
                <w:ilvl w:val="0"/>
                <w:numId w:val="8"/>
              </w:numPr>
              <w:spacing w:before="120" w:after="120"/>
              <w:rPr>
                <w:i/>
                <w:iCs/>
                <w:lang w:eastAsia="ko-KR"/>
              </w:rPr>
            </w:pPr>
            <w:r>
              <w:rPr>
                <w:i/>
                <w:iCs/>
                <w:lang w:eastAsia="ko-KR"/>
              </w:rPr>
              <w:t>Specify mechanism aiming to align sidelink DRX wake-up time among the UEs communicating with each other</w:t>
            </w:r>
          </w:p>
          <w:p w:rsidR="00C65F14" w:rsidRDefault="00282CD4">
            <w:pPr>
              <w:numPr>
                <w:ilvl w:val="0"/>
                <w:numId w:val="8"/>
              </w:numPr>
              <w:spacing w:before="120" w:after="120"/>
              <w:rPr>
                <w:sz w:val="20"/>
              </w:rPr>
            </w:pPr>
            <w:r>
              <w:rPr>
                <w:i/>
                <w:iCs/>
                <w:lang w:eastAsia="ko-KR"/>
              </w:rPr>
              <w:t>Specify mechanism aiming to align sidelink DRX wake-up time with Uu DRX wake-up time in an in-coverage UE</w:t>
            </w:r>
          </w:p>
        </w:tc>
      </w:tr>
    </w:tbl>
    <w:p w:rsidR="00C65F14" w:rsidRDefault="00497987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Although this </w:t>
      </w:r>
      <w:r>
        <w:rPr>
          <w:sz w:val="20"/>
        </w:rPr>
        <w:t>objective</w:t>
      </w:r>
      <w:r>
        <w:rPr>
          <w:rFonts w:hint="eastAsia"/>
          <w:sz w:val="20"/>
        </w:rPr>
        <w:t xml:space="preserve"> is </w:t>
      </w:r>
      <w:r>
        <w:rPr>
          <w:sz w:val="20"/>
        </w:rPr>
        <w:t>covered</w:t>
      </w:r>
      <w:r w:rsidR="00282CD4">
        <w:rPr>
          <w:rFonts w:hint="eastAsia"/>
          <w:sz w:val="20"/>
        </w:rPr>
        <w:t xml:space="preserve"> by RAN2, sidelink DRX is a</w:t>
      </w:r>
      <w:r>
        <w:rPr>
          <w:rFonts w:hint="eastAsia"/>
          <w:sz w:val="20"/>
        </w:rPr>
        <w:t xml:space="preserve"> key feature </w:t>
      </w:r>
      <w:r>
        <w:rPr>
          <w:sz w:val="20"/>
        </w:rPr>
        <w:t>from</w:t>
      </w:r>
      <w:r>
        <w:rPr>
          <w:rFonts w:hint="eastAsia"/>
          <w:sz w:val="20"/>
        </w:rPr>
        <w:t xml:space="preserve"> RAN1</w:t>
      </w:r>
      <w:r>
        <w:rPr>
          <w:sz w:val="20"/>
        </w:rPr>
        <w:t>’</w:t>
      </w:r>
      <w:r>
        <w:rPr>
          <w:rFonts w:hint="eastAsia"/>
          <w:sz w:val="20"/>
        </w:rPr>
        <w:t>s perspective</w:t>
      </w:r>
      <w:r>
        <w:rPr>
          <w:sz w:val="20"/>
        </w:rPr>
        <w:t xml:space="preserve"> </w:t>
      </w:r>
      <w:r>
        <w:rPr>
          <w:rFonts w:hint="eastAsia"/>
          <w:sz w:val="20"/>
        </w:rPr>
        <w:t>for power consum</w:t>
      </w:r>
      <w:r>
        <w:rPr>
          <w:sz w:val="20"/>
        </w:rPr>
        <w:t>ption</w:t>
      </w:r>
      <w:r w:rsidR="00282CD4">
        <w:rPr>
          <w:rFonts w:hint="eastAsia"/>
          <w:sz w:val="20"/>
        </w:rPr>
        <w:t xml:space="preserve"> sensitive</w:t>
      </w:r>
      <w:r>
        <w:rPr>
          <w:rFonts w:hint="eastAsia"/>
          <w:sz w:val="20"/>
        </w:rPr>
        <w:t xml:space="preserve"> UEs</w:t>
      </w:r>
      <w:r>
        <w:rPr>
          <w:sz w:val="20"/>
        </w:rPr>
        <w:t>. Some</w:t>
      </w:r>
      <w:r w:rsidR="00282CD4">
        <w:rPr>
          <w:rFonts w:hint="eastAsia"/>
          <w:sz w:val="20"/>
        </w:rPr>
        <w:t xml:space="preserve"> design</w:t>
      </w:r>
      <w:r>
        <w:rPr>
          <w:sz w:val="20"/>
        </w:rPr>
        <w:t>s, although implemented by RAN2 specification,</w:t>
      </w:r>
      <w:r w:rsidR="00282CD4">
        <w:rPr>
          <w:rFonts w:hint="eastAsia"/>
          <w:sz w:val="20"/>
        </w:rPr>
        <w:t xml:space="preserve"> may have impact to physical layer design</w:t>
      </w:r>
      <w:r>
        <w:rPr>
          <w:sz w:val="20"/>
        </w:rPr>
        <w:t xml:space="preserve"> or need RAN1 decision</w:t>
      </w:r>
      <w:r w:rsidR="00282CD4">
        <w:rPr>
          <w:rFonts w:hint="eastAsia"/>
          <w:sz w:val="20"/>
        </w:rPr>
        <w:t>. In this c</w:t>
      </w:r>
      <w:r>
        <w:rPr>
          <w:rFonts w:hint="eastAsia"/>
          <w:sz w:val="20"/>
        </w:rPr>
        <w:t xml:space="preserve">ontribution, a high level </w:t>
      </w:r>
      <w:r>
        <w:rPr>
          <w:sz w:val="20"/>
        </w:rPr>
        <w:t>discussion</w:t>
      </w:r>
      <w:r w:rsidR="00282CD4">
        <w:rPr>
          <w:rFonts w:hint="eastAsia"/>
          <w:sz w:val="20"/>
        </w:rPr>
        <w:t xml:space="preserve"> of sidelink DRX design and pot</w:t>
      </w:r>
      <w:r>
        <w:rPr>
          <w:rFonts w:hint="eastAsia"/>
          <w:sz w:val="20"/>
        </w:rPr>
        <w:t xml:space="preserve">ential impacts </w:t>
      </w:r>
      <w:r>
        <w:rPr>
          <w:sz w:val="20"/>
        </w:rPr>
        <w:t>to RAN1</w:t>
      </w:r>
      <w:r w:rsidR="00282CD4">
        <w:rPr>
          <w:rFonts w:hint="eastAsia"/>
          <w:sz w:val="20"/>
        </w:rPr>
        <w:t xml:space="preserve"> are discussed.</w:t>
      </w:r>
    </w:p>
    <w:p w:rsidR="00C65F14" w:rsidRDefault="00282CD4">
      <w:pPr>
        <w:pStyle w:val="Heading1"/>
        <w:spacing w:before="120" w:after="120"/>
        <w:ind w:left="0"/>
      </w:pPr>
      <w:r>
        <w:rPr>
          <w:rFonts w:hint="eastAsia"/>
        </w:rPr>
        <w:t>Discussion</w:t>
      </w:r>
      <w:r>
        <w:t>s</w:t>
      </w:r>
    </w:p>
    <w:p w:rsidR="00C65F14" w:rsidRDefault="00514AD2">
      <w:pPr>
        <w:spacing w:before="120" w:after="120"/>
        <w:rPr>
          <w:sz w:val="20"/>
        </w:rPr>
      </w:pPr>
      <w:r>
        <w:rPr>
          <w:sz w:val="20"/>
        </w:rPr>
        <w:t>From</w:t>
      </w:r>
      <w:r w:rsidR="00282CD4">
        <w:rPr>
          <w:rFonts w:hint="eastAsia"/>
          <w:sz w:val="20"/>
        </w:rPr>
        <w:t xml:space="preserve"> RAN1</w:t>
      </w:r>
      <w:r w:rsidR="00282CD4">
        <w:rPr>
          <w:sz w:val="20"/>
        </w:rPr>
        <w:t>’</w:t>
      </w:r>
      <w:r w:rsidR="00282CD4">
        <w:rPr>
          <w:rFonts w:hint="eastAsia"/>
          <w:sz w:val="20"/>
        </w:rPr>
        <w:t>s perspective, sidelink DRX is one of sufficient mechanisms for power saving, e.g. th</w:t>
      </w:r>
      <w:r>
        <w:rPr>
          <w:rFonts w:hint="eastAsia"/>
          <w:sz w:val="20"/>
        </w:rPr>
        <w:t xml:space="preserve">e UE in DRX inactive period </w:t>
      </w:r>
      <w:r w:rsidR="00282CD4">
        <w:rPr>
          <w:rFonts w:hint="eastAsia"/>
          <w:sz w:val="20"/>
        </w:rPr>
        <w:t xml:space="preserve">does not need to monitor PSCCH/PSSCH. </w:t>
      </w:r>
      <w:r>
        <w:rPr>
          <w:sz w:val="20"/>
        </w:rPr>
        <w:t>A UE-</w:t>
      </w:r>
      <w:r w:rsidR="00282CD4">
        <w:rPr>
          <w:sz w:val="20"/>
        </w:rPr>
        <w:t xml:space="preserve">specific </w:t>
      </w:r>
      <w:r w:rsidR="00282CD4">
        <w:rPr>
          <w:rFonts w:hint="eastAsia"/>
          <w:sz w:val="20"/>
        </w:rPr>
        <w:t xml:space="preserve">sidelink </w:t>
      </w:r>
      <w:r w:rsidR="00282CD4">
        <w:rPr>
          <w:sz w:val="20"/>
        </w:rPr>
        <w:t>DRX may be configured by upper layers</w:t>
      </w:r>
      <w:r>
        <w:rPr>
          <w:rFonts w:hint="eastAsia"/>
          <w:sz w:val="20"/>
        </w:rPr>
        <w:t xml:space="preserve"> for </w:t>
      </w:r>
      <w:r w:rsidR="00282CD4">
        <w:rPr>
          <w:sz w:val="20"/>
        </w:rPr>
        <w:t>RRC_CONNECTED</w:t>
      </w:r>
      <w:r w:rsidR="00282CD4">
        <w:rPr>
          <w:rFonts w:hint="eastAsia"/>
          <w:sz w:val="20"/>
        </w:rPr>
        <w:t xml:space="preserve">, </w:t>
      </w:r>
      <w:r w:rsidR="00282CD4">
        <w:rPr>
          <w:sz w:val="20"/>
        </w:rPr>
        <w:t>RRC_INACTIVE</w:t>
      </w:r>
      <w:r w:rsidR="00282CD4">
        <w:rPr>
          <w:rFonts w:hint="eastAsia"/>
          <w:sz w:val="20"/>
        </w:rPr>
        <w:t xml:space="preserve"> and </w:t>
      </w:r>
      <w:r w:rsidR="00282CD4">
        <w:rPr>
          <w:sz w:val="20"/>
        </w:rPr>
        <w:t>RRC_IDLE</w:t>
      </w:r>
      <w:r w:rsidR="00282CD4">
        <w:rPr>
          <w:rFonts w:hint="eastAsia"/>
          <w:sz w:val="20"/>
        </w:rPr>
        <w:t xml:space="preserve"> UEs. Taking a pair of sidelink UEs for </w:t>
      </w:r>
      <w:r>
        <w:rPr>
          <w:sz w:val="20"/>
        </w:rPr>
        <w:t>instance</w:t>
      </w:r>
      <w:r>
        <w:rPr>
          <w:rFonts w:hint="eastAsia"/>
          <w:sz w:val="20"/>
        </w:rPr>
        <w:t xml:space="preserve">, there are two alternatives </w:t>
      </w:r>
      <w:r w:rsidR="00282CD4">
        <w:rPr>
          <w:rFonts w:hint="eastAsia"/>
          <w:sz w:val="20"/>
        </w:rPr>
        <w:t>on how sidelink DRX works:</w:t>
      </w:r>
    </w:p>
    <w:p w:rsidR="00C65F14" w:rsidRDefault="006A543F" w:rsidP="00514AD2">
      <w:pPr>
        <w:numPr>
          <w:ilvl w:val="0"/>
          <w:numId w:val="9"/>
        </w:numPr>
        <w:spacing w:before="120" w:after="120"/>
        <w:ind w:left="720" w:hanging="360"/>
        <w:rPr>
          <w:sz w:val="20"/>
        </w:rPr>
      </w:pPr>
      <w:r>
        <w:rPr>
          <w:rFonts w:hint="eastAsia"/>
          <w:sz w:val="20"/>
        </w:rPr>
        <w:t>Type-</w:t>
      </w:r>
      <w:r w:rsidR="00514AD2">
        <w:rPr>
          <w:rFonts w:hint="eastAsia"/>
          <w:sz w:val="20"/>
        </w:rPr>
        <w:t xml:space="preserve">1: </w:t>
      </w:r>
      <w:r w:rsidR="00282CD4">
        <w:rPr>
          <w:rFonts w:hint="eastAsia"/>
          <w:sz w:val="20"/>
        </w:rPr>
        <w:t>SL DRX</w:t>
      </w:r>
      <w:r w:rsidR="00514AD2">
        <w:rPr>
          <w:sz w:val="20"/>
        </w:rPr>
        <w:t xml:space="preserve"> configuration conveyed from Tx UE to Rx UE.</w:t>
      </w:r>
    </w:p>
    <w:p w:rsidR="00514AD2" w:rsidRDefault="00514AD2" w:rsidP="00514AD2">
      <w:pPr>
        <w:tabs>
          <w:tab w:val="left" w:pos="420"/>
        </w:tabs>
        <w:spacing w:before="120" w:after="120"/>
        <w:ind w:left="720"/>
        <w:rPr>
          <w:sz w:val="20"/>
        </w:rPr>
      </w:pPr>
      <w:r>
        <w:rPr>
          <w:sz w:val="20"/>
        </w:rPr>
        <w:t>T</w:t>
      </w:r>
      <w:r>
        <w:rPr>
          <w:rFonts w:hint="eastAsia"/>
          <w:sz w:val="20"/>
        </w:rPr>
        <w:t xml:space="preserve">his kind of DRX is </w:t>
      </w:r>
      <w:r w:rsidRPr="00282CD4">
        <w:rPr>
          <w:rFonts w:hint="eastAsia"/>
          <w:sz w:val="20"/>
        </w:rPr>
        <w:t xml:space="preserve">very similar as Uu DRX, </w:t>
      </w:r>
      <w:r>
        <w:rPr>
          <w:sz w:val="20"/>
        </w:rPr>
        <w:t xml:space="preserve">where </w:t>
      </w:r>
      <w:r w:rsidRPr="00282CD4">
        <w:rPr>
          <w:rFonts w:hint="eastAsia"/>
          <w:sz w:val="20"/>
        </w:rPr>
        <w:t xml:space="preserve">gNB takes the responsibility to </w:t>
      </w:r>
      <w:r>
        <w:rPr>
          <w:rFonts w:hint="eastAsia"/>
          <w:sz w:val="20"/>
        </w:rPr>
        <w:t>determine the DRX configuration</w:t>
      </w:r>
      <w:r w:rsidRPr="00282CD4">
        <w:rPr>
          <w:rFonts w:hint="eastAsia"/>
          <w:sz w:val="20"/>
        </w:rPr>
        <w:t xml:space="preserve"> and UE just foll</w:t>
      </w:r>
      <w:r>
        <w:rPr>
          <w:rFonts w:hint="eastAsia"/>
          <w:sz w:val="20"/>
        </w:rPr>
        <w:t xml:space="preserve">ows DRX configuration to monitor PDCCH. But when to transmit </w:t>
      </w:r>
      <w:r>
        <w:rPr>
          <w:sz w:val="20"/>
        </w:rPr>
        <w:t xml:space="preserve">PDCCH </w:t>
      </w:r>
      <w:r>
        <w:rPr>
          <w:rFonts w:hint="eastAsia"/>
          <w:sz w:val="20"/>
        </w:rPr>
        <w:t xml:space="preserve">is an implementation issue </w:t>
      </w:r>
      <w:r>
        <w:rPr>
          <w:sz w:val="20"/>
        </w:rPr>
        <w:t>in</w:t>
      </w:r>
      <w:r>
        <w:rPr>
          <w:rFonts w:hint="eastAsia"/>
          <w:sz w:val="20"/>
        </w:rPr>
        <w:t xml:space="preserve"> gNB. For sidelink, Tx UE can provide/transfer DRX configuration to Rx UE, and Rx UE just follows the configured DRX for reception</w:t>
      </w:r>
      <w:r>
        <w:rPr>
          <w:sz w:val="20"/>
        </w:rPr>
        <w:t xml:space="preserve">. </w:t>
      </w:r>
    </w:p>
    <w:p w:rsidR="006A543F" w:rsidRDefault="006A543F" w:rsidP="006A543F">
      <w:pPr>
        <w:numPr>
          <w:ilvl w:val="0"/>
          <w:numId w:val="9"/>
        </w:numPr>
        <w:spacing w:before="120" w:after="120"/>
        <w:ind w:left="720" w:hanging="360"/>
        <w:rPr>
          <w:sz w:val="20"/>
        </w:rPr>
      </w:pPr>
      <w:r>
        <w:rPr>
          <w:rFonts w:hint="eastAsia"/>
          <w:sz w:val="20"/>
        </w:rPr>
        <w:t>Type-</w:t>
      </w:r>
      <w:r w:rsidR="00514AD2">
        <w:rPr>
          <w:rFonts w:hint="eastAsia"/>
          <w:sz w:val="20"/>
        </w:rPr>
        <w:t>2: SL DRX</w:t>
      </w:r>
      <w:r w:rsidR="00514AD2">
        <w:rPr>
          <w:sz w:val="20"/>
        </w:rPr>
        <w:t xml:space="preserve"> configuration conveyed from Rx UE to Tx UE.</w:t>
      </w:r>
    </w:p>
    <w:p w:rsidR="00C65F14" w:rsidRPr="006A543F" w:rsidRDefault="00514AD2" w:rsidP="006A543F">
      <w:pPr>
        <w:spacing w:before="120" w:after="120"/>
        <w:ind w:left="720"/>
        <w:rPr>
          <w:sz w:val="20"/>
        </w:rPr>
      </w:pPr>
      <w:r w:rsidRPr="006A543F">
        <w:rPr>
          <w:sz w:val="20"/>
        </w:rPr>
        <w:t>With</w:t>
      </w:r>
      <w:r w:rsidRPr="006A543F">
        <w:rPr>
          <w:rFonts w:hint="eastAsia"/>
          <w:sz w:val="20"/>
        </w:rPr>
        <w:t xml:space="preserve"> Type-</w:t>
      </w:r>
      <w:r w:rsidR="00282CD4" w:rsidRPr="006A543F">
        <w:rPr>
          <w:rFonts w:hint="eastAsia"/>
          <w:sz w:val="20"/>
        </w:rPr>
        <w:t>2</w:t>
      </w:r>
      <w:r w:rsidRPr="006A543F">
        <w:rPr>
          <w:sz w:val="20"/>
        </w:rPr>
        <w:t xml:space="preserve"> DRX configuration</w:t>
      </w:r>
      <w:r w:rsidRPr="006A543F">
        <w:rPr>
          <w:rFonts w:hint="eastAsia"/>
          <w:sz w:val="20"/>
        </w:rPr>
        <w:t xml:space="preserve">, </w:t>
      </w:r>
      <w:r w:rsidR="00282CD4" w:rsidRPr="006A543F">
        <w:rPr>
          <w:rFonts w:hint="eastAsia"/>
          <w:sz w:val="20"/>
        </w:rPr>
        <w:t>Rx UE may determine a proper DRX pattern, and send the information to Tx UE. The intention is to ask Tx UE to follo</w:t>
      </w:r>
      <w:r w:rsidRPr="006A543F">
        <w:rPr>
          <w:rFonts w:hint="eastAsia"/>
          <w:sz w:val="20"/>
        </w:rPr>
        <w:t>w the expect DRX pattern, i.e. o</w:t>
      </w:r>
      <w:r w:rsidR="00282CD4" w:rsidRPr="006A543F">
        <w:rPr>
          <w:rFonts w:hint="eastAsia"/>
          <w:sz w:val="20"/>
        </w:rPr>
        <w:t>nly transmission</w:t>
      </w:r>
      <w:r w:rsidRPr="006A543F">
        <w:rPr>
          <w:sz w:val="20"/>
        </w:rPr>
        <w:t>s</w:t>
      </w:r>
      <w:r w:rsidRPr="006A543F">
        <w:rPr>
          <w:rFonts w:hint="eastAsia"/>
          <w:sz w:val="20"/>
        </w:rPr>
        <w:t xml:space="preserve"> in a</w:t>
      </w:r>
      <w:r w:rsidRPr="006A543F">
        <w:rPr>
          <w:sz w:val="20"/>
        </w:rPr>
        <w:t>n</w:t>
      </w:r>
      <w:r w:rsidRPr="006A543F">
        <w:rPr>
          <w:rFonts w:hint="eastAsia"/>
          <w:sz w:val="20"/>
        </w:rPr>
        <w:t xml:space="preserve"> ON duration are</w:t>
      </w:r>
      <w:r w:rsidR="00282CD4" w:rsidRPr="006A543F">
        <w:rPr>
          <w:rFonts w:hint="eastAsia"/>
          <w:sz w:val="20"/>
        </w:rPr>
        <w:t xml:space="preserve"> expected.</w:t>
      </w:r>
    </w:p>
    <w:p w:rsidR="00C65F14" w:rsidRDefault="006A543F">
      <w:pPr>
        <w:spacing w:before="120" w:after="120"/>
        <w:rPr>
          <w:sz w:val="20"/>
        </w:rPr>
      </w:pPr>
      <w:r>
        <w:rPr>
          <w:sz w:val="20"/>
        </w:rPr>
        <w:t>T</w:t>
      </w:r>
      <w:r w:rsidR="00282CD4">
        <w:rPr>
          <w:rFonts w:hint="eastAsia"/>
          <w:sz w:val="20"/>
        </w:rPr>
        <w:t>he t</w:t>
      </w:r>
      <w:r>
        <w:rPr>
          <w:rFonts w:hint="eastAsia"/>
          <w:sz w:val="20"/>
        </w:rPr>
        <w:t>wo types of sidelink DRX may have</w:t>
      </w:r>
      <w:r w:rsidR="00282CD4">
        <w:rPr>
          <w:rFonts w:hint="eastAsia"/>
          <w:sz w:val="20"/>
        </w:rPr>
        <w:t xml:space="preserve"> dif</w:t>
      </w:r>
      <w:r>
        <w:rPr>
          <w:rFonts w:hint="eastAsia"/>
          <w:sz w:val="20"/>
        </w:rPr>
        <w:t>ferent impacts to RAN1 work</w:t>
      </w:r>
      <w:r w:rsidR="00282CD4">
        <w:rPr>
          <w:rFonts w:hint="eastAsia"/>
          <w:sz w:val="20"/>
        </w:rPr>
        <w:t>.</w:t>
      </w:r>
    </w:p>
    <w:p w:rsidR="00C65F14" w:rsidRDefault="006A543F">
      <w:pPr>
        <w:spacing w:before="120" w:after="120"/>
        <w:rPr>
          <w:sz w:val="20"/>
        </w:rPr>
      </w:pPr>
      <w:r>
        <w:rPr>
          <w:rFonts w:hint="eastAsia"/>
          <w:sz w:val="20"/>
        </w:rPr>
        <w:t>For Type-</w:t>
      </w:r>
      <w:r w:rsidR="00282CD4">
        <w:rPr>
          <w:rFonts w:hint="eastAsia"/>
          <w:sz w:val="20"/>
        </w:rPr>
        <w:t>1</w:t>
      </w:r>
      <w:r>
        <w:rPr>
          <w:sz w:val="20"/>
        </w:rPr>
        <w:t xml:space="preserve"> DRX</w:t>
      </w:r>
      <w:r w:rsidR="00282CD4">
        <w:rPr>
          <w:rFonts w:hint="eastAsia"/>
          <w:sz w:val="20"/>
        </w:rPr>
        <w:t>, the pattern for Tx UE transmission may be considered in the DRX configuration, in other words, the transmission of Tx UE would be well cove</w:t>
      </w:r>
      <w:r>
        <w:rPr>
          <w:rFonts w:hint="eastAsia"/>
          <w:sz w:val="20"/>
        </w:rPr>
        <w:t>red by the configured DRX; the Rx</w:t>
      </w:r>
      <w:r w:rsidR="00282CD4">
        <w:rPr>
          <w:rFonts w:hint="eastAsia"/>
          <w:sz w:val="20"/>
        </w:rPr>
        <w:t xml:space="preserve"> UE just follows the configured DRX for </w:t>
      </w:r>
      <w:r w:rsidR="00282CD4">
        <w:rPr>
          <w:rFonts w:hint="eastAsia"/>
          <w:sz w:val="20"/>
        </w:rPr>
        <w:lastRenderedPageBreak/>
        <w:t>reception. If more than one Tx UEs provide DRX configurations t</w:t>
      </w:r>
      <w:r>
        <w:rPr>
          <w:rFonts w:hint="eastAsia"/>
          <w:sz w:val="20"/>
        </w:rPr>
        <w:t>o one Rx UE, it can be left as</w:t>
      </w:r>
      <w:r w:rsidR="00282CD4">
        <w:rPr>
          <w:rFonts w:hint="eastAsia"/>
          <w:sz w:val="20"/>
        </w:rPr>
        <w:t xml:space="preserve"> UE implementation how to combine the multiple DRX co</w:t>
      </w:r>
      <w:r>
        <w:rPr>
          <w:rFonts w:hint="eastAsia"/>
          <w:sz w:val="20"/>
        </w:rPr>
        <w:t>nfigurations. T</w:t>
      </w:r>
      <w:r>
        <w:rPr>
          <w:sz w:val="20"/>
        </w:rPr>
        <w:t>here</w:t>
      </w:r>
      <w:r w:rsidR="00282CD4">
        <w:rPr>
          <w:rFonts w:hint="eastAsia"/>
          <w:sz w:val="20"/>
        </w:rPr>
        <w:t xml:space="preserve"> seems les</w:t>
      </w:r>
      <w:r>
        <w:rPr>
          <w:rFonts w:hint="eastAsia"/>
          <w:sz w:val="20"/>
        </w:rPr>
        <w:t>s impacts on physical layer by Type-</w:t>
      </w:r>
      <w:r w:rsidR="00282CD4">
        <w:rPr>
          <w:rFonts w:hint="eastAsia"/>
          <w:sz w:val="20"/>
        </w:rPr>
        <w:t>1 DRX.</w:t>
      </w:r>
      <w:r w:rsidR="00282CD4">
        <w:rPr>
          <w:sz w:val="20"/>
        </w:rPr>
        <w:t xml:space="preserve"> </w:t>
      </w:r>
      <w:bookmarkStart w:id="0" w:name="_GoBack"/>
      <w:bookmarkEnd w:id="0"/>
    </w:p>
    <w:p w:rsidR="00C65F14" w:rsidRDefault="006A543F">
      <w:pPr>
        <w:spacing w:before="120" w:after="120"/>
        <w:rPr>
          <w:sz w:val="20"/>
        </w:rPr>
      </w:pPr>
      <w:r>
        <w:rPr>
          <w:rFonts w:hint="eastAsia"/>
          <w:sz w:val="20"/>
        </w:rPr>
        <w:t>For Type-</w:t>
      </w:r>
      <w:r w:rsidR="00282CD4">
        <w:rPr>
          <w:rFonts w:hint="eastAsia"/>
          <w:sz w:val="20"/>
        </w:rPr>
        <w:t>2</w:t>
      </w:r>
      <w:r>
        <w:rPr>
          <w:sz w:val="20"/>
        </w:rPr>
        <w:t xml:space="preserve"> DRX</w:t>
      </w:r>
      <w:r w:rsidR="00282CD4">
        <w:rPr>
          <w:rFonts w:hint="eastAsia"/>
          <w:sz w:val="20"/>
        </w:rPr>
        <w:t xml:space="preserve">, </w:t>
      </w:r>
      <w:r>
        <w:rPr>
          <w:rFonts w:hint="eastAsia"/>
          <w:sz w:val="20"/>
        </w:rPr>
        <w:t xml:space="preserve">Tx UE </w:t>
      </w:r>
      <w:r w:rsidR="00761B3C">
        <w:rPr>
          <w:sz w:val="20"/>
        </w:rPr>
        <w:t>is informed of one or multiple</w:t>
      </w:r>
      <w:r>
        <w:rPr>
          <w:rFonts w:hint="eastAsia"/>
          <w:sz w:val="20"/>
        </w:rPr>
        <w:t xml:space="preserve"> DRX </w:t>
      </w:r>
      <w:r w:rsidR="00761B3C">
        <w:rPr>
          <w:sz w:val="20"/>
        </w:rPr>
        <w:t xml:space="preserve">ON duration </w:t>
      </w:r>
      <w:r>
        <w:rPr>
          <w:rFonts w:hint="eastAsia"/>
          <w:sz w:val="20"/>
        </w:rPr>
        <w:t>pattern</w:t>
      </w:r>
      <w:r w:rsidR="00761B3C">
        <w:rPr>
          <w:sz w:val="20"/>
        </w:rPr>
        <w:t>s individually expected by Rx UEs</w:t>
      </w:r>
      <w:r w:rsidR="00282CD4">
        <w:rPr>
          <w:rFonts w:hint="eastAsia"/>
          <w:sz w:val="20"/>
        </w:rPr>
        <w:t xml:space="preserve">. Obviously, this has an impact on PSCCH/PSSCH transmission behavior, e.g. </w:t>
      </w:r>
      <w:r w:rsidR="00761B3C">
        <w:rPr>
          <w:sz w:val="20"/>
        </w:rPr>
        <w:t xml:space="preserve">the transmission </w:t>
      </w:r>
      <w:r w:rsidR="00282CD4">
        <w:rPr>
          <w:rFonts w:hint="eastAsia"/>
          <w:sz w:val="20"/>
        </w:rPr>
        <w:t xml:space="preserve">resource selection. Another issue is </w:t>
      </w:r>
      <w:r w:rsidR="00761B3C">
        <w:rPr>
          <w:sz w:val="20"/>
        </w:rPr>
        <w:t xml:space="preserve">that, </w:t>
      </w:r>
      <w:r w:rsidR="00282CD4">
        <w:rPr>
          <w:rFonts w:hint="eastAsia"/>
          <w:sz w:val="20"/>
        </w:rPr>
        <w:t xml:space="preserve">if a Tx UE received multiple DRX configurations from more than one Rx UEs, more </w:t>
      </w:r>
      <w:r w:rsidR="00761B3C">
        <w:rPr>
          <w:sz w:val="20"/>
        </w:rPr>
        <w:t xml:space="preserve">conditions or </w:t>
      </w:r>
      <w:r w:rsidR="00282CD4">
        <w:rPr>
          <w:rFonts w:hint="eastAsia"/>
          <w:sz w:val="20"/>
        </w:rPr>
        <w:t xml:space="preserve">limitations </w:t>
      </w:r>
      <w:r w:rsidR="00761B3C">
        <w:rPr>
          <w:sz w:val="20"/>
        </w:rPr>
        <w:t>may</w:t>
      </w:r>
      <w:r w:rsidR="00282CD4">
        <w:rPr>
          <w:rFonts w:hint="eastAsia"/>
          <w:sz w:val="20"/>
        </w:rPr>
        <w:t xml:space="preserve"> be introduced to resource selection, </w:t>
      </w:r>
      <w:r w:rsidR="00761B3C">
        <w:rPr>
          <w:sz w:val="20"/>
        </w:rPr>
        <w:t>which makes it</w:t>
      </w:r>
      <w:r w:rsidR="00282CD4">
        <w:rPr>
          <w:rFonts w:hint="eastAsia"/>
          <w:sz w:val="20"/>
        </w:rPr>
        <w:t xml:space="preserve"> hard</w:t>
      </w:r>
      <w:r w:rsidR="00761B3C">
        <w:rPr>
          <w:sz w:val="20"/>
        </w:rPr>
        <w:t>er</w:t>
      </w:r>
      <w:r w:rsidR="00282CD4">
        <w:rPr>
          <w:rFonts w:hint="eastAsia"/>
          <w:sz w:val="20"/>
        </w:rPr>
        <w:t xml:space="preserve"> to meet the </w:t>
      </w:r>
      <w:r w:rsidR="00761B3C">
        <w:rPr>
          <w:sz w:val="20"/>
        </w:rPr>
        <w:t xml:space="preserve">traffic </w:t>
      </w:r>
      <w:r w:rsidR="00761B3C">
        <w:rPr>
          <w:rFonts w:hint="eastAsia"/>
          <w:sz w:val="20"/>
        </w:rPr>
        <w:t xml:space="preserve">QoS requirements </w:t>
      </w:r>
      <w:r w:rsidR="00282CD4">
        <w:rPr>
          <w:rFonts w:hint="eastAsia"/>
          <w:sz w:val="20"/>
        </w:rPr>
        <w:t>from Tx UE perspective.</w:t>
      </w:r>
    </w:p>
    <w:p w:rsidR="00C65F14" w:rsidRDefault="00761B3C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Considering the DRX objective is planned to be done in RAN2, </w:t>
      </w:r>
      <w:r w:rsidR="004F5582">
        <w:rPr>
          <w:sz w:val="20"/>
        </w:rPr>
        <w:t xml:space="preserve">we prefer to </w:t>
      </w:r>
      <w:r>
        <w:rPr>
          <w:rFonts w:hint="eastAsia"/>
          <w:sz w:val="20"/>
        </w:rPr>
        <w:t xml:space="preserve">the solution with less </w:t>
      </w:r>
      <w:r w:rsidR="00282CD4">
        <w:rPr>
          <w:rFonts w:hint="eastAsia"/>
          <w:sz w:val="20"/>
        </w:rPr>
        <w:t>i</w:t>
      </w:r>
      <w:r w:rsidR="006A543F">
        <w:rPr>
          <w:rFonts w:hint="eastAsia"/>
          <w:sz w:val="20"/>
        </w:rPr>
        <w:t xml:space="preserve">mpact </w:t>
      </w:r>
      <w:r>
        <w:rPr>
          <w:sz w:val="20"/>
        </w:rPr>
        <w:t>to RAN1</w:t>
      </w:r>
      <w:r w:rsidR="006A543F">
        <w:rPr>
          <w:rFonts w:hint="eastAsia"/>
          <w:sz w:val="20"/>
        </w:rPr>
        <w:t xml:space="preserve">. </w:t>
      </w:r>
    </w:p>
    <w:p w:rsidR="006A543F" w:rsidRPr="006A543F" w:rsidRDefault="00761B3C" w:rsidP="006A543F">
      <w:pPr>
        <w:pStyle w:val="YJ-Observation"/>
        <w:spacing w:before="120" w:after="120"/>
        <w:rPr>
          <w:lang w:val="en-US" w:eastAsia="zh-CN"/>
        </w:rPr>
      </w:pPr>
      <w:bookmarkStart w:id="1" w:name="_Toc47552317"/>
      <w:r>
        <w:rPr>
          <w:lang w:val="en-US" w:eastAsia="zh-CN"/>
        </w:rPr>
        <w:t>There are two types of DRX operation – DRX configuration conveyed from Tx UE to Rx UE and DRX configuration conveyed from Rx UE to Tx UE.</w:t>
      </w:r>
      <w:bookmarkEnd w:id="1"/>
      <w:r>
        <w:rPr>
          <w:lang w:val="en-US" w:eastAsia="zh-CN"/>
        </w:rPr>
        <w:t xml:space="preserve"> </w:t>
      </w:r>
    </w:p>
    <w:p w:rsidR="00C65F14" w:rsidRDefault="00AE2F38">
      <w:pPr>
        <w:pStyle w:val="YJ-Proposal"/>
        <w:spacing w:before="120" w:after="120"/>
        <w:rPr>
          <w:szCs w:val="22"/>
          <w:lang w:val="en-US" w:eastAsia="zh-CN"/>
        </w:rPr>
      </w:pPr>
      <w:bookmarkStart w:id="2" w:name="_Toc47552313"/>
      <w:r>
        <w:rPr>
          <w:szCs w:val="22"/>
          <w:lang w:val="en-US" w:eastAsia="zh-CN"/>
        </w:rPr>
        <w:t>DRX configuration conveyed from Tx UE to Rx UE</w:t>
      </w:r>
      <w:r>
        <w:rPr>
          <w:rFonts w:hint="eastAsia"/>
          <w:szCs w:val="22"/>
          <w:lang w:val="en-US" w:eastAsia="zh-CN"/>
        </w:rPr>
        <w:t xml:space="preserve"> should be adopted</w:t>
      </w:r>
      <w:r w:rsidR="00282CD4">
        <w:rPr>
          <w:rFonts w:hint="eastAsia"/>
          <w:szCs w:val="22"/>
          <w:lang w:val="en-US" w:eastAsia="zh-CN"/>
        </w:rPr>
        <w:t>.</w:t>
      </w:r>
      <w:bookmarkEnd w:id="2"/>
    </w:p>
    <w:p w:rsidR="00C65F14" w:rsidRDefault="00282CD4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Conclusion</w:t>
      </w:r>
    </w:p>
    <w:p w:rsidR="00C65F14" w:rsidRDefault="00282CD4">
      <w:pPr>
        <w:spacing w:before="120" w:after="120"/>
        <w:rPr>
          <w:sz w:val="20"/>
        </w:rPr>
      </w:pPr>
      <w:r>
        <w:rPr>
          <w:rFonts w:hint="eastAsia"/>
          <w:sz w:val="20"/>
        </w:rPr>
        <w:t>Based on above discussion, the following observation and proposal are given:</w:t>
      </w:r>
    </w:p>
    <w:p w:rsidR="00AE2F38" w:rsidRDefault="00C31A80">
      <w:pPr>
        <w:pStyle w:val="TOC1"/>
        <w:tabs>
          <w:tab w:val="left" w:pos="1540"/>
          <w:tab w:val="righ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kern w:val="0"/>
          <w:sz w:val="22"/>
          <w:szCs w:val="22"/>
        </w:rPr>
      </w:pPr>
      <w:r w:rsidRPr="00C31A80">
        <w:rPr>
          <w:sz w:val="21"/>
          <w:szCs w:val="22"/>
        </w:rPr>
        <w:fldChar w:fldCharType="begin"/>
      </w:r>
      <w:r w:rsidR="00282CD4">
        <w:rPr>
          <w:sz w:val="21"/>
          <w:szCs w:val="22"/>
        </w:rPr>
        <w:instrText>TOC \n  \t "YJ-Observation,1,sub-observation,2,3rd level observation,3" \h</w:instrText>
      </w:r>
      <w:r w:rsidRPr="00C31A80">
        <w:rPr>
          <w:sz w:val="21"/>
          <w:szCs w:val="22"/>
        </w:rPr>
        <w:fldChar w:fldCharType="separate"/>
      </w:r>
      <w:hyperlink w:anchor="_Toc47552317" w:history="1">
        <w:r w:rsidR="00AE2F38" w:rsidRPr="00EF3BC9">
          <w:rPr>
            <w:rStyle w:val="Hyperlink"/>
            <w:rFonts w:eastAsia="SimSun"/>
            <w:noProof/>
          </w:rPr>
          <w:t>Observation 1:</w:t>
        </w:r>
        <w:r w:rsidR="00AE2F38">
          <w:rPr>
            <w:rFonts w:asciiTheme="minorHAnsi" w:hAnsiTheme="minorHAnsi" w:cstheme="minorBidi"/>
            <w:b w:val="0"/>
            <w:i w:val="0"/>
            <w:noProof/>
            <w:kern w:val="0"/>
            <w:sz w:val="22"/>
            <w:szCs w:val="22"/>
          </w:rPr>
          <w:tab/>
        </w:r>
        <w:r w:rsidR="00AE2F38" w:rsidRPr="00EF3BC9">
          <w:rPr>
            <w:rStyle w:val="Hyperlink"/>
            <w:noProof/>
          </w:rPr>
          <w:t>There are two types of DRX operation – DRX configuration conveyed from Tx UE to Rx UE and DRX configuration conveyed from Rx UE to Tx UE.</w:t>
        </w:r>
      </w:hyperlink>
    </w:p>
    <w:p w:rsidR="00AE2F38" w:rsidRDefault="00C31A80">
      <w:pPr>
        <w:pStyle w:val="TOC1"/>
        <w:tabs>
          <w:tab w:val="right" w:pos="9660"/>
        </w:tabs>
        <w:spacing w:before="120" w:after="120"/>
        <w:rPr>
          <w:noProof/>
        </w:rPr>
      </w:pPr>
      <w:r>
        <w:rPr>
          <w:szCs w:val="22"/>
        </w:rPr>
        <w:fldChar w:fldCharType="end"/>
      </w:r>
      <w:r w:rsidRPr="00C31A80">
        <w:fldChar w:fldCharType="begin"/>
      </w:r>
      <w:r w:rsidR="00282CD4">
        <w:instrText>TOC \n  \t "YJ-Proposal,1,sub-proposal,2,3rd level proposal,3" \h</w:instrText>
      </w:r>
      <w:r w:rsidRPr="00C31A80">
        <w:fldChar w:fldCharType="separate"/>
      </w:r>
    </w:p>
    <w:p w:rsidR="00AE2F38" w:rsidRDefault="00C31A80">
      <w:pPr>
        <w:pStyle w:val="TOC1"/>
        <w:tabs>
          <w:tab w:val="left" w:pos="1282"/>
          <w:tab w:val="righ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kern w:val="0"/>
          <w:sz w:val="22"/>
          <w:szCs w:val="22"/>
        </w:rPr>
      </w:pPr>
      <w:hyperlink w:anchor="_Toc47552313" w:history="1">
        <w:r w:rsidR="00AE2F38" w:rsidRPr="00AF20B4">
          <w:rPr>
            <w:rStyle w:val="Hyperlink"/>
            <w:rFonts w:eastAsia="SimSun"/>
            <w:noProof/>
          </w:rPr>
          <w:t>Proposal 1:</w:t>
        </w:r>
        <w:r w:rsidR="00AE2F38">
          <w:rPr>
            <w:rFonts w:asciiTheme="minorHAnsi" w:hAnsiTheme="minorHAnsi" w:cstheme="minorBidi"/>
            <w:b w:val="0"/>
            <w:i w:val="0"/>
            <w:noProof/>
            <w:kern w:val="0"/>
            <w:sz w:val="22"/>
            <w:szCs w:val="22"/>
          </w:rPr>
          <w:tab/>
        </w:r>
        <w:r w:rsidR="00AE2F38" w:rsidRPr="00AF20B4">
          <w:rPr>
            <w:rStyle w:val="Hyperlink"/>
            <w:noProof/>
          </w:rPr>
          <w:t>DRX configuration conveyed from Tx UE to Rx UE should be adopted.</w:t>
        </w:r>
      </w:hyperlink>
    </w:p>
    <w:p w:rsidR="00C65F14" w:rsidRDefault="00C31A80">
      <w:pPr>
        <w:pStyle w:val="TOC2"/>
        <w:tabs>
          <w:tab w:val="right" w:pos="9660"/>
        </w:tabs>
        <w:spacing w:before="120" w:after="120"/>
        <w:ind w:leftChars="0" w:left="0" w:firstLineChars="0" w:firstLine="0"/>
      </w:pPr>
      <w:r>
        <w:fldChar w:fldCharType="end"/>
      </w:r>
    </w:p>
    <w:p w:rsidR="00C65F14" w:rsidRDefault="00282CD4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Reference</w:t>
      </w:r>
      <w:r>
        <w:rPr>
          <w:rFonts w:eastAsia="SimSun"/>
        </w:rPr>
        <w:t>s</w:t>
      </w:r>
    </w:p>
    <w:p w:rsidR="00C65F14" w:rsidRDefault="00282CD4">
      <w:pPr>
        <w:pStyle w:val="References"/>
        <w:spacing w:before="120" w:after="120"/>
        <w:ind w:left="363" w:hanging="363"/>
      </w:pPr>
      <w:bookmarkStart w:id="3" w:name="_Ref8297"/>
      <w:r>
        <w:rPr>
          <w:rFonts w:hint="eastAsia"/>
        </w:rPr>
        <w:t xml:space="preserve">RP-201385, WID revision: NR sidelink enhancement, LG Electronics, June 29 - July 3, 2020 </w:t>
      </w:r>
      <w:bookmarkEnd w:id="3"/>
    </w:p>
    <w:sectPr w:rsidR="00C65F14" w:rsidSect="00C65F1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46C" w:rsidRDefault="0058646C" w:rsidP="00282CD4">
      <w:pPr>
        <w:spacing w:before="120" w:after="120" w:line="240" w:lineRule="auto"/>
      </w:pPr>
      <w:r>
        <w:separator/>
      </w:r>
    </w:p>
  </w:endnote>
  <w:endnote w:type="continuationSeparator" w:id="0">
    <w:p w:rsidR="0058646C" w:rsidRDefault="0058646C" w:rsidP="00282CD4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F14" w:rsidRDefault="00C65F14">
    <w:pPr>
      <w:pStyle w:val="Footer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84869"/>
      <w:docPartObj>
        <w:docPartGallery w:val="Page Numbers (Bottom of Page)"/>
        <w:docPartUnique/>
      </w:docPartObj>
    </w:sdtPr>
    <w:sdtContent>
      <w:p w:rsidR="00F639D7" w:rsidRDefault="00C31A80" w:rsidP="00F639D7">
        <w:pPr>
          <w:pStyle w:val="Footer"/>
          <w:spacing w:before="120" w:after="120"/>
          <w:jc w:val="center"/>
        </w:pPr>
        <w:r>
          <w:fldChar w:fldCharType="begin"/>
        </w:r>
        <w:r w:rsidR="0058646C">
          <w:instrText xml:space="preserve"> PAGE   \* MERGEFORMAT </w:instrText>
        </w:r>
        <w:r>
          <w:fldChar w:fldCharType="separate"/>
        </w:r>
        <w:r w:rsidR="00365E2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65F14" w:rsidRDefault="00C65F14">
    <w:pPr>
      <w:pStyle w:val="Footer"/>
      <w:spacing w:before="120" w:after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F14" w:rsidRDefault="00C65F14">
    <w:pPr>
      <w:pStyle w:val="Footer"/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46C" w:rsidRDefault="0058646C" w:rsidP="00282CD4">
      <w:pPr>
        <w:spacing w:before="120" w:after="120" w:line="240" w:lineRule="auto"/>
      </w:pPr>
      <w:r>
        <w:separator/>
      </w:r>
    </w:p>
  </w:footnote>
  <w:footnote w:type="continuationSeparator" w:id="0">
    <w:p w:rsidR="0058646C" w:rsidRDefault="0058646C" w:rsidP="00282CD4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F14" w:rsidRDefault="00C65F14">
    <w:pPr>
      <w:pStyle w:val="Header"/>
      <w:spacing w:before="120"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F14" w:rsidRDefault="00C65F14">
    <w:pPr>
      <w:pStyle w:val="Header"/>
      <w:spacing w:before="120" w:after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F14" w:rsidRDefault="00C65F14">
    <w:pPr>
      <w:pStyle w:val="Header"/>
      <w:spacing w:before="120"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SimSun" w:hAnsi="Times New Roman" w:cs="Times New Roman" w:hint="default"/>
        <w:i/>
        <w:iCs/>
      </w:rPr>
    </w:lvl>
  </w:abstractNum>
  <w:abstractNum w:abstractNumId="1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2">
    <w:nsid w:val="0BDD5F2B"/>
    <w:multiLevelType w:val="multilevel"/>
    <w:tmpl w:val="0BDD5F2B"/>
    <w:lvl w:ilvl="0">
      <w:start w:val="1"/>
      <w:numFmt w:val="decimal"/>
      <w:pStyle w:val="Heading1"/>
      <w:suff w:val="nothing"/>
      <w:lvlText w:val="%1  "/>
      <w:lvlJc w:val="left"/>
      <w:pPr>
        <w:ind w:left="496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>
    <w:nsid w:val="0F9171CA"/>
    <w:multiLevelType w:val="multilevel"/>
    <w:tmpl w:val="0F9171CA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</w:abstractNum>
  <w:abstractNum w:abstractNumId="5">
    <w:nsid w:val="32925A3E"/>
    <w:multiLevelType w:val="singleLevel"/>
    <w:tmpl w:val="32925A3E"/>
    <w:lvl w:ilvl="0">
      <w:start w:val="1"/>
      <w:numFmt w:val="bullet"/>
      <w:lvlText w:val="•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</w:abstractNum>
  <w:abstractNum w:abstractNumId="6">
    <w:nsid w:val="372AA324"/>
    <w:multiLevelType w:val="multilevel"/>
    <w:tmpl w:val="372AA324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7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>
    <w:nsid w:val="43FCA2C8"/>
    <w:multiLevelType w:val="singleLevel"/>
    <w:tmpl w:val="43FCA2C8"/>
    <w:lvl w:ilvl="0">
      <w:start w:val="1"/>
      <w:numFmt w:val="lowerRoman"/>
      <w:pStyle w:val="3rdlevelobservation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SimSun" w:hAnsi="Times New Roman" w:cs="Times New Roman" w:hint="default"/>
        <w:i/>
        <w:iCs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0"/>
  </w:num>
  <w:num w:numId="7">
    <w:abstractNumId w:val="8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7"/>
  <w:proofState w:spelling="clean" w:grammar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72A27"/>
    <w:rsid w:val="00042F99"/>
    <w:rsid w:val="00172A27"/>
    <w:rsid w:val="001A2100"/>
    <w:rsid w:val="001A6ACB"/>
    <w:rsid w:val="001E5D6C"/>
    <w:rsid w:val="00230918"/>
    <w:rsid w:val="002527AB"/>
    <w:rsid w:val="00282CD4"/>
    <w:rsid w:val="0029382B"/>
    <w:rsid w:val="00353B6F"/>
    <w:rsid w:val="00365E2B"/>
    <w:rsid w:val="00380AFB"/>
    <w:rsid w:val="00497987"/>
    <w:rsid w:val="004F5582"/>
    <w:rsid w:val="00514AD2"/>
    <w:rsid w:val="005626C0"/>
    <w:rsid w:val="00584B0E"/>
    <w:rsid w:val="0058646C"/>
    <w:rsid w:val="005B065E"/>
    <w:rsid w:val="00611A47"/>
    <w:rsid w:val="006171EC"/>
    <w:rsid w:val="00673ABF"/>
    <w:rsid w:val="006A543F"/>
    <w:rsid w:val="006B39DE"/>
    <w:rsid w:val="0071321D"/>
    <w:rsid w:val="007408C4"/>
    <w:rsid w:val="00750113"/>
    <w:rsid w:val="00752345"/>
    <w:rsid w:val="00761B3C"/>
    <w:rsid w:val="00781562"/>
    <w:rsid w:val="007C75B6"/>
    <w:rsid w:val="00802053"/>
    <w:rsid w:val="00884E65"/>
    <w:rsid w:val="008A308D"/>
    <w:rsid w:val="00925A67"/>
    <w:rsid w:val="00927288"/>
    <w:rsid w:val="00947576"/>
    <w:rsid w:val="0096044C"/>
    <w:rsid w:val="009C1E0A"/>
    <w:rsid w:val="00A00ABF"/>
    <w:rsid w:val="00A030BF"/>
    <w:rsid w:val="00A15756"/>
    <w:rsid w:val="00A77519"/>
    <w:rsid w:val="00AB4DF4"/>
    <w:rsid w:val="00AD3DD4"/>
    <w:rsid w:val="00AE2F38"/>
    <w:rsid w:val="00B103C6"/>
    <w:rsid w:val="00B63A81"/>
    <w:rsid w:val="00B82785"/>
    <w:rsid w:val="00C113BA"/>
    <w:rsid w:val="00C153F6"/>
    <w:rsid w:val="00C31A80"/>
    <w:rsid w:val="00C65F14"/>
    <w:rsid w:val="00CE5460"/>
    <w:rsid w:val="00D21ACC"/>
    <w:rsid w:val="00D233ED"/>
    <w:rsid w:val="00D2691C"/>
    <w:rsid w:val="00D4489F"/>
    <w:rsid w:val="00DE41B7"/>
    <w:rsid w:val="00E54579"/>
    <w:rsid w:val="00E61F0E"/>
    <w:rsid w:val="00E940E5"/>
    <w:rsid w:val="00F639D7"/>
    <w:rsid w:val="00F7094A"/>
    <w:rsid w:val="00FD2DE4"/>
    <w:rsid w:val="01764F01"/>
    <w:rsid w:val="024D6B6A"/>
    <w:rsid w:val="029B04E7"/>
    <w:rsid w:val="03073BDC"/>
    <w:rsid w:val="033F44DC"/>
    <w:rsid w:val="03B26DCE"/>
    <w:rsid w:val="03C47468"/>
    <w:rsid w:val="03CB5C1C"/>
    <w:rsid w:val="0451206B"/>
    <w:rsid w:val="0555228E"/>
    <w:rsid w:val="05697A57"/>
    <w:rsid w:val="059D1E39"/>
    <w:rsid w:val="05E078B3"/>
    <w:rsid w:val="05FF6C6C"/>
    <w:rsid w:val="06F319A4"/>
    <w:rsid w:val="077D0583"/>
    <w:rsid w:val="079724D0"/>
    <w:rsid w:val="082A352F"/>
    <w:rsid w:val="08C349D1"/>
    <w:rsid w:val="09F67CD5"/>
    <w:rsid w:val="0B4F1E8A"/>
    <w:rsid w:val="0B9E71DF"/>
    <w:rsid w:val="0C1D203F"/>
    <w:rsid w:val="0C9D30C2"/>
    <w:rsid w:val="0E172BD0"/>
    <w:rsid w:val="0F7C3CAB"/>
    <w:rsid w:val="10A50104"/>
    <w:rsid w:val="119D7849"/>
    <w:rsid w:val="1242135C"/>
    <w:rsid w:val="12A20093"/>
    <w:rsid w:val="13287CA6"/>
    <w:rsid w:val="13A1683F"/>
    <w:rsid w:val="14DA3DA1"/>
    <w:rsid w:val="17155857"/>
    <w:rsid w:val="17950508"/>
    <w:rsid w:val="17F76095"/>
    <w:rsid w:val="19010C43"/>
    <w:rsid w:val="19084C73"/>
    <w:rsid w:val="191D62D8"/>
    <w:rsid w:val="1A054259"/>
    <w:rsid w:val="1B7F6005"/>
    <w:rsid w:val="1C132CB9"/>
    <w:rsid w:val="1CCC26CA"/>
    <w:rsid w:val="1DBD25BE"/>
    <w:rsid w:val="1E2D4522"/>
    <w:rsid w:val="1E9D6342"/>
    <w:rsid w:val="204E6676"/>
    <w:rsid w:val="20DA3E90"/>
    <w:rsid w:val="2195668B"/>
    <w:rsid w:val="21BE5AD4"/>
    <w:rsid w:val="21F853C5"/>
    <w:rsid w:val="245C52F8"/>
    <w:rsid w:val="2463385E"/>
    <w:rsid w:val="25134332"/>
    <w:rsid w:val="257E508F"/>
    <w:rsid w:val="264E62ED"/>
    <w:rsid w:val="27AB7429"/>
    <w:rsid w:val="285C053E"/>
    <w:rsid w:val="29FA7F26"/>
    <w:rsid w:val="2ACA602E"/>
    <w:rsid w:val="2B774832"/>
    <w:rsid w:val="2CB47BAD"/>
    <w:rsid w:val="2E202D6D"/>
    <w:rsid w:val="2E804BB2"/>
    <w:rsid w:val="2F1251F2"/>
    <w:rsid w:val="30962F3E"/>
    <w:rsid w:val="30D17E68"/>
    <w:rsid w:val="30FF2795"/>
    <w:rsid w:val="329A6ACE"/>
    <w:rsid w:val="34FB33C8"/>
    <w:rsid w:val="360B1D73"/>
    <w:rsid w:val="361F3323"/>
    <w:rsid w:val="36A065D1"/>
    <w:rsid w:val="36E93760"/>
    <w:rsid w:val="3784394E"/>
    <w:rsid w:val="37AA333F"/>
    <w:rsid w:val="38AE3BB0"/>
    <w:rsid w:val="3A093D96"/>
    <w:rsid w:val="3ACB5746"/>
    <w:rsid w:val="3BB20883"/>
    <w:rsid w:val="3C5C218C"/>
    <w:rsid w:val="3DE27738"/>
    <w:rsid w:val="3E213782"/>
    <w:rsid w:val="3E441C7D"/>
    <w:rsid w:val="3E9D07D9"/>
    <w:rsid w:val="3FBF6BA2"/>
    <w:rsid w:val="3FC06B22"/>
    <w:rsid w:val="3FC956FF"/>
    <w:rsid w:val="40A36A71"/>
    <w:rsid w:val="41D3631F"/>
    <w:rsid w:val="41F466FD"/>
    <w:rsid w:val="423B2C4D"/>
    <w:rsid w:val="426F2A01"/>
    <w:rsid w:val="42A67A24"/>
    <w:rsid w:val="42D846B9"/>
    <w:rsid w:val="440D5045"/>
    <w:rsid w:val="45BE6191"/>
    <w:rsid w:val="460C5979"/>
    <w:rsid w:val="46285882"/>
    <w:rsid w:val="47C01792"/>
    <w:rsid w:val="4808150F"/>
    <w:rsid w:val="488E34AE"/>
    <w:rsid w:val="495C62EC"/>
    <w:rsid w:val="49E9233D"/>
    <w:rsid w:val="4A4A4403"/>
    <w:rsid w:val="4A864A6F"/>
    <w:rsid w:val="4AAD1944"/>
    <w:rsid w:val="4AC31003"/>
    <w:rsid w:val="4AE93159"/>
    <w:rsid w:val="4BCD571B"/>
    <w:rsid w:val="4BD0339A"/>
    <w:rsid w:val="4D462159"/>
    <w:rsid w:val="4D5C5FAC"/>
    <w:rsid w:val="4DC605B6"/>
    <w:rsid w:val="4DEC0985"/>
    <w:rsid w:val="4E27683A"/>
    <w:rsid w:val="4E304C8C"/>
    <w:rsid w:val="4F2765B1"/>
    <w:rsid w:val="4F285975"/>
    <w:rsid w:val="4F4820CE"/>
    <w:rsid w:val="504574AD"/>
    <w:rsid w:val="51867298"/>
    <w:rsid w:val="52195EDF"/>
    <w:rsid w:val="52313387"/>
    <w:rsid w:val="52E04D27"/>
    <w:rsid w:val="539A390F"/>
    <w:rsid w:val="53DB3477"/>
    <w:rsid w:val="54461346"/>
    <w:rsid w:val="54AF6B42"/>
    <w:rsid w:val="55DD6F2A"/>
    <w:rsid w:val="56B83806"/>
    <w:rsid w:val="56E23970"/>
    <w:rsid w:val="578F220A"/>
    <w:rsid w:val="57FC07D9"/>
    <w:rsid w:val="58500F22"/>
    <w:rsid w:val="591C0009"/>
    <w:rsid w:val="5ACF0F3A"/>
    <w:rsid w:val="5C6B1600"/>
    <w:rsid w:val="5C921AD0"/>
    <w:rsid w:val="5CA7584C"/>
    <w:rsid w:val="5CEB4E60"/>
    <w:rsid w:val="5D0F5899"/>
    <w:rsid w:val="5DFD51DB"/>
    <w:rsid w:val="5E0D36E5"/>
    <w:rsid w:val="5F124A3D"/>
    <w:rsid w:val="60295080"/>
    <w:rsid w:val="607C3753"/>
    <w:rsid w:val="60C30855"/>
    <w:rsid w:val="61421EFD"/>
    <w:rsid w:val="615C5041"/>
    <w:rsid w:val="62FA015F"/>
    <w:rsid w:val="64274451"/>
    <w:rsid w:val="64886CFB"/>
    <w:rsid w:val="664805B8"/>
    <w:rsid w:val="66491F7A"/>
    <w:rsid w:val="66854D7C"/>
    <w:rsid w:val="690F418B"/>
    <w:rsid w:val="6A3449C7"/>
    <w:rsid w:val="6A7A2736"/>
    <w:rsid w:val="6A7B4B9C"/>
    <w:rsid w:val="6C89456C"/>
    <w:rsid w:val="6CB1514B"/>
    <w:rsid w:val="6E6D4707"/>
    <w:rsid w:val="6ECC2C68"/>
    <w:rsid w:val="6FA629D4"/>
    <w:rsid w:val="70BB2EF0"/>
    <w:rsid w:val="71956EC7"/>
    <w:rsid w:val="72DA13F9"/>
    <w:rsid w:val="73AF30E5"/>
    <w:rsid w:val="73D425F7"/>
    <w:rsid w:val="750A2023"/>
    <w:rsid w:val="750A58D7"/>
    <w:rsid w:val="7676736A"/>
    <w:rsid w:val="76933951"/>
    <w:rsid w:val="771D661B"/>
    <w:rsid w:val="773516CF"/>
    <w:rsid w:val="77C76E13"/>
    <w:rsid w:val="782A4D5C"/>
    <w:rsid w:val="78782A0D"/>
    <w:rsid w:val="79A2171F"/>
    <w:rsid w:val="79A252FF"/>
    <w:rsid w:val="79D33056"/>
    <w:rsid w:val="7C26369C"/>
    <w:rsid w:val="7C9E5A24"/>
    <w:rsid w:val="7D62117D"/>
    <w:rsid w:val="7E3E1EF2"/>
    <w:rsid w:val="7E687B43"/>
    <w:rsid w:val="7E951513"/>
    <w:rsid w:val="7E9E3E9F"/>
    <w:rsid w:val="7EDB11DB"/>
    <w:rsid w:val="7EF74FC9"/>
    <w:rsid w:val="7EF753EC"/>
    <w:rsid w:val="7F2C6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5" w:qFormat="1"/>
    <w:lsdException w:name="toc 1" w:semiHidden="0" w:uiPriority="39" w:qFormat="1"/>
    <w:lsdException w:name="toc 2" w:semiHidden="0" w:qFormat="1"/>
    <w:lsdException w:name="toc 3" w:semiHidden="0" w:qFormat="1"/>
    <w:lsdException w:name="annotation text" w:uiPriority="0" w:qFormat="1"/>
    <w:lsdException w:name="header" w:uiPriority="0" w:unhideWhenUsed="0" w:qFormat="1"/>
    <w:lsdException w:name="footer" w:semiHidden="0" w:qFormat="1"/>
    <w:lsdException w:name="table of figures" w:qFormat="1"/>
    <w:lsdException w:name="annotation reference" w:qFormat="1"/>
    <w:lsdException w:name="List" w:semiHidden="0" w:uiPriority="0" w:unhideWhenUsed="0" w:qFormat="1"/>
    <w:lsdException w:name="List 2" w:semiHidden="0" w:uiPriority="0" w:unhideWhenUsed="0" w:qFormat="1"/>
    <w:lsdException w:name="List 3" w:semiHidden="0" w:uiPriority="0" w:unhideWhenUsed="0" w:qFormat="1"/>
    <w:lsdException w:name="Title" w:semiHidden="0" w:unhideWhenUsed="0"/>
    <w:lsdException w:name="Default Paragraph Font" w:uiPriority="1"/>
    <w:lsdException w:name="Subtitle" w:semiHidden="0" w:unhideWhenUsed="0"/>
    <w:lsdException w:name="Hyperlink" w:semiHidden="0" w:unhideWhenUsed="0" w:qFormat="1"/>
    <w:lsdException w:name="Strong" w:semiHidden="0" w:unhideWhenUsed="0"/>
    <w:lsdException w:name="Emphasis" w:semiHidden="0" w:unhideWhenUsed="0"/>
    <w:lsdException w:name="Document Map" w:qFormat="1"/>
    <w:lsdException w:name="Normal (Web)" w:qFormat="1"/>
    <w:lsdException w:name="annotation subject" w:qFormat="1"/>
    <w:lsdException w:name="Balloon Text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F14"/>
    <w:pPr>
      <w:spacing w:beforeLines="50" w:afterLines="50"/>
      <w:jc w:val="both"/>
    </w:pPr>
    <w:rPr>
      <w:kern w:val="2"/>
      <w:sz w:val="21"/>
    </w:rPr>
  </w:style>
  <w:style w:type="paragraph" w:styleId="Heading1">
    <w:name w:val="heading 1"/>
    <w:basedOn w:val="Normal"/>
    <w:next w:val="Normal"/>
    <w:qFormat/>
    <w:rsid w:val="00C65F14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Heading2">
    <w:name w:val="heading 2"/>
    <w:basedOn w:val="Heading1"/>
    <w:next w:val="Normal"/>
    <w:qFormat/>
    <w:rsid w:val="00C65F14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C65F14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C65F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rsid w:val="00C65F14"/>
    <w:pPr>
      <w:ind w:left="1135"/>
    </w:pPr>
  </w:style>
  <w:style w:type="paragraph" w:styleId="List2">
    <w:name w:val="List 2"/>
    <w:basedOn w:val="List"/>
    <w:qFormat/>
    <w:rsid w:val="00C65F14"/>
    <w:pPr>
      <w:ind w:left="851"/>
    </w:pPr>
  </w:style>
  <w:style w:type="paragraph" w:styleId="List">
    <w:name w:val="List"/>
    <w:basedOn w:val="Normal"/>
    <w:qFormat/>
    <w:rsid w:val="00C65F14"/>
    <w:pPr>
      <w:ind w:left="568" w:hanging="284"/>
    </w:p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C65F1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qFormat/>
    <w:rsid w:val="00C65F14"/>
    <w:pPr>
      <w:jc w:val="left"/>
    </w:pPr>
  </w:style>
  <w:style w:type="paragraph" w:styleId="TOC3">
    <w:name w:val="toc 3"/>
    <w:basedOn w:val="Normal"/>
    <w:next w:val="Normal"/>
    <w:uiPriority w:val="99"/>
    <w:unhideWhenUsed/>
    <w:qFormat/>
    <w:rsid w:val="00C65F14"/>
    <w:pPr>
      <w:adjustRightInd w:val="0"/>
      <w:ind w:leftChars="400" w:left="1282" w:hangingChars="200" w:hanging="442"/>
    </w:pPr>
    <w:rPr>
      <w:b/>
      <w:i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C65F1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C65F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semiHidden/>
    <w:qFormat/>
    <w:rsid w:val="00C65F14"/>
    <w:pPr>
      <w:tabs>
        <w:tab w:val="center" w:pos="4680"/>
        <w:tab w:val="right" w:pos="9360"/>
      </w:tabs>
      <w:spacing w:after="0" w:line="240" w:lineRule="auto"/>
    </w:pPr>
  </w:style>
  <w:style w:type="paragraph" w:styleId="TOC1">
    <w:name w:val="toc 1"/>
    <w:basedOn w:val="Normal"/>
    <w:next w:val="Normal"/>
    <w:uiPriority w:val="39"/>
    <w:unhideWhenUsed/>
    <w:qFormat/>
    <w:rsid w:val="00C65F14"/>
    <w:rPr>
      <w:rFonts w:eastAsiaTheme="minorEastAsia"/>
      <w:b/>
      <w:i/>
      <w:sz w:val="20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C65F14"/>
    <w:pPr>
      <w:ind w:leftChars="200" w:left="200" w:hangingChars="200" w:hanging="200"/>
    </w:pPr>
  </w:style>
  <w:style w:type="paragraph" w:styleId="TOC2">
    <w:name w:val="toc 2"/>
    <w:basedOn w:val="Normal"/>
    <w:next w:val="Normal"/>
    <w:uiPriority w:val="99"/>
    <w:unhideWhenUsed/>
    <w:qFormat/>
    <w:rsid w:val="00C65F14"/>
    <w:pPr>
      <w:ind w:leftChars="200" w:left="862" w:hangingChars="200" w:hanging="442"/>
    </w:pPr>
    <w:rPr>
      <w:b/>
      <w:i/>
      <w:sz w:val="20"/>
    </w:rPr>
  </w:style>
  <w:style w:type="paragraph" w:styleId="NormalWeb">
    <w:name w:val="Normal (Web)"/>
    <w:basedOn w:val="Normal"/>
    <w:uiPriority w:val="99"/>
    <w:semiHidden/>
    <w:unhideWhenUsed/>
    <w:qFormat/>
    <w:rsid w:val="00C65F14"/>
    <w:pPr>
      <w:spacing w:before="100" w:beforeAutospacing="1" w:after="100" w:afterAutospacing="1"/>
      <w:jc w:val="left"/>
    </w:pPr>
    <w:rPr>
      <w:rFonts w:ascii="Calibri" w:eastAsiaTheme="minorHAnsi" w:hAnsi="Calibri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C65F14"/>
    <w:pPr>
      <w:spacing w:line="240" w:lineRule="auto"/>
      <w:jc w:val="both"/>
    </w:pPr>
    <w:rPr>
      <w:b/>
      <w:bCs/>
      <w:sz w:val="20"/>
    </w:rPr>
  </w:style>
  <w:style w:type="table" w:styleId="TableGrid">
    <w:name w:val="Table Grid"/>
    <w:basedOn w:val="TableNormal"/>
    <w:uiPriority w:val="99"/>
    <w:qFormat/>
    <w:rsid w:val="00C65F1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qFormat/>
    <w:rsid w:val="00C65F14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C65F14"/>
    <w:rPr>
      <w:sz w:val="16"/>
      <w:szCs w:val="16"/>
    </w:rPr>
  </w:style>
  <w:style w:type="paragraph" w:customStyle="1" w:styleId="YJ-Proposal">
    <w:name w:val="YJ-Proposal"/>
    <w:basedOn w:val="Normal"/>
    <w:qFormat/>
    <w:rsid w:val="00C65F14"/>
    <w:pPr>
      <w:numPr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rsid w:val="00C65F14"/>
    <w:pPr>
      <w:numPr>
        <w:numId w:val="3"/>
      </w:numPr>
      <w:tabs>
        <w:tab w:val="left" w:pos="420"/>
      </w:tabs>
    </w:pPr>
  </w:style>
  <w:style w:type="paragraph" w:customStyle="1" w:styleId="sub-proposal">
    <w:name w:val="sub-proposal"/>
    <w:basedOn w:val="YJ-Proposal"/>
    <w:next w:val="Normal"/>
    <w:qFormat/>
    <w:rsid w:val="00C65F14"/>
    <w:pPr>
      <w:numPr>
        <w:numId w:val="4"/>
      </w:numPr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Normal"/>
    <w:qFormat/>
    <w:rsid w:val="00C65F14"/>
  </w:style>
  <w:style w:type="paragraph" w:customStyle="1" w:styleId="References">
    <w:name w:val="References"/>
    <w:basedOn w:val="Normal"/>
    <w:qFormat/>
    <w:rsid w:val="00C65F14"/>
    <w:pPr>
      <w:numPr>
        <w:numId w:val="5"/>
      </w:numPr>
      <w:spacing w:after="60"/>
    </w:pPr>
    <w:rPr>
      <w:szCs w:val="16"/>
    </w:rPr>
  </w:style>
  <w:style w:type="paragraph" w:styleId="ListParagraph">
    <w:name w:val="List Paragraph"/>
    <w:basedOn w:val="Normal"/>
    <w:uiPriority w:val="34"/>
    <w:qFormat/>
    <w:rsid w:val="00C65F14"/>
    <w:pPr>
      <w:spacing w:beforeLines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">
    <w:name w:val="样式1"/>
    <w:basedOn w:val="Normal"/>
    <w:qFormat/>
    <w:rsid w:val="00C65F14"/>
  </w:style>
  <w:style w:type="paragraph" w:customStyle="1" w:styleId="3rdlevelproposal">
    <w:name w:val="3rd level proposal"/>
    <w:basedOn w:val="sub-proposal"/>
    <w:next w:val="Normal"/>
    <w:qFormat/>
    <w:rsid w:val="00C65F14"/>
    <w:pPr>
      <w:numPr>
        <w:numId w:val="6"/>
      </w:numPr>
      <w:ind w:leftChars="400" w:left="1282" w:hanging="442"/>
      <w:jc w:val="left"/>
    </w:pPr>
  </w:style>
  <w:style w:type="paragraph" w:customStyle="1" w:styleId="2">
    <w:name w:val="样式2"/>
    <w:basedOn w:val="Normal"/>
    <w:qFormat/>
    <w:rsid w:val="00C65F14"/>
  </w:style>
  <w:style w:type="paragraph" w:customStyle="1" w:styleId="3rdlevelobservation">
    <w:name w:val="3rd level observation"/>
    <w:basedOn w:val="sub-observation"/>
    <w:qFormat/>
    <w:rsid w:val="00C65F14"/>
    <w:pPr>
      <w:numPr>
        <w:numId w:val="7"/>
      </w:numPr>
      <w:ind w:leftChars="400" w:left="1282" w:hanging="442"/>
    </w:pPr>
  </w:style>
  <w:style w:type="paragraph" w:customStyle="1" w:styleId="B1">
    <w:name w:val="B1"/>
    <w:basedOn w:val="List"/>
    <w:link w:val="B1Char1"/>
    <w:qFormat/>
    <w:rsid w:val="00C65F14"/>
  </w:style>
  <w:style w:type="paragraph" w:customStyle="1" w:styleId="B2">
    <w:name w:val="B2"/>
    <w:basedOn w:val="List2"/>
    <w:link w:val="B2Char"/>
    <w:qFormat/>
    <w:rsid w:val="00C65F14"/>
  </w:style>
  <w:style w:type="paragraph" w:customStyle="1" w:styleId="B3">
    <w:name w:val="B3"/>
    <w:basedOn w:val="List3"/>
    <w:qFormat/>
    <w:rsid w:val="00C65F14"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C65F14"/>
    <w:rPr>
      <w:rFonts w:ascii="Tahoma" w:eastAsia="SimSun" w:hAnsi="Tahoma" w:cs="Tahoma"/>
      <w:kern w:val="2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C65F14"/>
    <w:rPr>
      <w:rFonts w:ascii="Tahoma" w:eastAsia="SimSun" w:hAnsi="Tahoma" w:cs="Tahoma"/>
      <w:kern w:val="2"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qFormat/>
    <w:rsid w:val="00C65F14"/>
    <w:rPr>
      <w:rFonts w:eastAsia="SimSun"/>
      <w:kern w:val="2"/>
      <w:sz w:val="21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C65F14"/>
    <w:rPr>
      <w:rFonts w:eastAsia="SimSun"/>
      <w:kern w:val="2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9"/>
    <w:semiHidden/>
    <w:qFormat/>
    <w:rsid w:val="00C65F14"/>
    <w:rPr>
      <w:rFonts w:asciiTheme="majorHAnsi" w:eastAsiaTheme="majorEastAsia" w:hAnsiTheme="majorHAnsi" w:cstheme="majorBidi"/>
      <w:color w:val="244061" w:themeColor="accent1" w:themeShade="80"/>
      <w:kern w:val="2"/>
      <w:sz w:val="21"/>
    </w:rPr>
  </w:style>
  <w:style w:type="character" w:customStyle="1" w:styleId="B1Char1">
    <w:name w:val="B1 Char1"/>
    <w:link w:val="B1"/>
    <w:qFormat/>
    <w:rsid w:val="00C65F14"/>
    <w:rPr>
      <w:rFonts w:eastAsia="SimSun"/>
      <w:kern w:val="2"/>
      <w:sz w:val="21"/>
    </w:rPr>
  </w:style>
  <w:style w:type="character" w:customStyle="1" w:styleId="B2Char">
    <w:name w:val="B2 Char"/>
    <w:link w:val="B2"/>
    <w:qFormat/>
    <w:locked/>
    <w:rsid w:val="00C65F14"/>
    <w:rPr>
      <w:rFonts w:eastAsia="SimSun"/>
      <w:kern w:val="2"/>
      <w:sz w:val="21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C65F14"/>
    <w:rPr>
      <w:rFonts w:eastAsia="SimSun"/>
      <w:kern w:val="2"/>
      <w:sz w:val="21"/>
    </w:rPr>
  </w:style>
  <w:style w:type="character" w:customStyle="1" w:styleId="CommentSubjectChar">
    <w:name w:val="Comment Subject Char"/>
    <w:basedOn w:val="CommentTextChar"/>
    <w:link w:val="CommentSubject"/>
    <w:qFormat/>
    <w:rsid w:val="00C65F14"/>
    <w:rPr>
      <w:rFonts w:eastAsia="SimSun"/>
      <w:kern w:val="2"/>
      <w:sz w:val="21"/>
    </w:rPr>
  </w:style>
  <w:style w:type="paragraph" w:customStyle="1" w:styleId="LGTdoc">
    <w:name w:val="LGTdoc_본문"/>
    <w:basedOn w:val="Normal"/>
    <w:qFormat/>
    <w:rsid w:val="00C65F14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apple-converted-space">
    <w:name w:val="apple-converted-space"/>
    <w:basedOn w:val="DefaultParagraphFont"/>
    <w:qFormat/>
    <w:rsid w:val="00C65F14"/>
  </w:style>
  <w:style w:type="paragraph" w:customStyle="1" w:styleId="TAL">
    <w:name w:val="TAL"/>
    <w:basedOn w:val="Normal"/>
    <w:qFormat/>
    <w:rsid w:val="00C65F14"/>
    <w:pPr>
      <w:keepNext/>
      <w:keepLines/>
    </w:pPr>
    <w:rPr>
      <w:rFonts w:ascii="Arial" w:eastAsiaTheme="minorEastAsia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66691C-33DF-48CA-899E-EF5BDB232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652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Windows User</cp:lastModifiedBy>
  <cp:revision>30</cp:revision>
  <dcterms:created xsi:type="dcterms:W3CDTF">2019-04-08T03:09:00Z</dcterms:created>
  <dcterms:modified xsi:type="dcterms:W3CDTF">2020-08-07T18:22:00Z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